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36"/>
        <w:ind w:hanging="0" w:right="50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2</w:t>
      </w:r>
    </w:p>
    <w:p>
      <w:pPr>
        <w:pStyle w:val="Heading1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Normal"/>
        <w:ind w:firstLine="4" w:left="28" w:right="43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ЗА ЛИПСА НА КОНФЛИКТ НА ИНТЕРЕСИ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Normal"/>
        <w:spacing w:before="0" w:after="494"/>
        <w:ind w:hanging="0" w:left="28" w:right="18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във връзка с провеждането на електронен търг за продажбата на недвижим имот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– обособена част от лечебно заведение, собственост на СБПЛРББ „Царица Йоанна“ ЕООД- град Трявна, представляващ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Поземлен имот с идентификатор 73403.501.1749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девет) по кадастралната карта и кадастралните регистри, одобрени със Заповед № РД-18-21 / 12.05.2010 г. на изпълнителния директор на АГКК, последно изменение със заповед: няма издадена заповед за изменение на КККР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адрес на поземления имот: град Трявна п.к. 5З50, община Трявна, област Габрово, ул. „Бреза” № 49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(четиридесет и девет), с площ по кадастралната скица от 16 721 кв.м. (шестнадесет хиляди, седемстотин двадесет и един квадратни метра); трайно предназначение на територията: урбанизирана; начин на трайно ползване: За друг обществен обект, комплекс; номер по предходен план: 1749, квартал 0, при съседи: поземлени имоти с идентификатори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73403.149.1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едно),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73403.501.2733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три)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73403.501.2732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хиляда седемстотин тридесет и две),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73403.49.7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седем),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73403.49.8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четиридесет и девет, точка, осем),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73403.501.2909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деветстотин и девет),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73403.501.2265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петстотин и едно, точка, две хиляди двеста шестдесет и пет) 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73403.149.14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(седемдесет и три хиляди, четиристотин и три, точка, сто четиридесет и девет, точка, четиринадесет),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ЗАЕДНО с построените в гореописания поземлен имот СГРАДА с идентификатор 73403.501.1749.1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едно),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със застроена площ по кадастрална скица от 176 кв. 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(сто седемдесет и шест квадратни метра),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брой надземни етажи 2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(два), състояща се както следва: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подземен етаж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четири броя мази, първи етаж – стълбищна част и два апартамента, състоящи се от коридор, две спални, кухня с килер, баня, тоалетна;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втори етаж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предназначение: Курортна туристическа сграда и СГРАДА с идентификатор 73403.501.1749.2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(седемдесет и три хиляди, четиристотин и три, точка, петстотин и едно, точка, хиляда седемстотин четиридесет и девет, точка, две), със застроена площ по кадастрална скица от 174 кв. м. (сто седемдесет и четири квадратни метра), брой надземни етажи 2 (два), състояща се както следва: подземен етаж – четири броя мази, първи етаж – стълбищна част и два апартамента, състоящи се от коридор, две спални, кухня с килер, баня, тоалетна; втори етаж – стълбищна част и два апартамента, състоящи се от коридор, две спални, кухня с тераса, баня, тоалетна,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 предназначение: Курортна туристическа сграда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(съгласно Нотариален акт за констатиране право на собственост върху недвижими имоти с № 48, том №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en-US"/>
        </w:rPr>
        <w:t>III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, рег.№ 4970, дело № 391 от 2018г. на нотариус Станислав Лукаев, рег. № 706 в регистъра на нотариалната камара с кантора в град Трявна, вписан в Служба по вписванията - Трявна с Вх. Рег. № 882 / 20.12.2018 г., акт № 182, том Ш, дело № 579 / 2018 г., имотна партида № 13459-13461, издаден на основание чл. 587, ал. 1 от Гражданския процесуален кодекс)</w:t>
      </w:r>
    </w:p>
    <w:p>
      <w:pPr>
        <w:pStyle w:val="Normal"/>
        <w:spacing w:before="0" w:after="494"/>
        <w:ind w:hanging="0" w:left="28" w:right="187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ДЕКЛАРИРАМ, ЧЕ:</w:t>
      </w:r>
    </w:p>
    <w:p>
      <w:pPr>
        <w:pStyle w:val="Normal"/>
        <w:numPr>
          <w:ilvl w:val="0"/>
          <w:numId w:val="1"/>
        </w:numPr>
        <w:spacing w:before="0" w:after="0"/>
        <w:ind w:hanging="353" w:left="745" w:right="7"/>
        <w:jc w:val="both"/>
        <w:rPr/>
      </w:pPr>
      <w:r>
        <w:rPr>
          <w:rFonts w:eastAsia="Times New Roman" w:cs="Times New Roman" w:ascii="Times New Roman" w:hAnsi="Times New Roman"/>
          <w:sz w:val="24"/>
        </w:rPr>
        <w:t>Не съм/съм свързано лице по смисъла на § 1, т. 15 от допълнителните разпоредби на Закона за противодействие на корупцията и за отнемане на незаконно придобитото имущество (ЗПКОНПИ) с член на изпълнителния или надзорния съвет на АППК;</w:t>
      </w:r>
    </w:p>
    <w:p>
      <w:pPr>
        <w:pStyle w:val="Normal"/>
        <w:numPr>
          <w:ilvl w:val="0"/>
          <w:numId w:val="1"/>
        </w:numPr>
        <w:spacing w:before="0" w:after="0"/>
        <w:ind w:hanging="353" w:left="745" w:right="7"/>
        <w:jc w:val="both"/>
        <w:rPr/>
      </w:pPr>
      <w:r>
        <w:rPr>
          <w:rFonts w:eastAsia="Times New Roman" w:cs="Times New Roman" w:ascii="Times New Roman" w:hAnsi="Times New Roman"/>
          <w:sz w:val="24"/>
        </w:rPr>
        <w:t>Не съм/съм сключил договор с лице по чл. 68 от ЗПКОНПИ;</w:t>
      </w:r>
    </w:p>
    <w:p>
      <w:pPr>
        <w:pStyle w:val="Normal"/>
        <w:spacing w:before="0" w:after="1409"/>
        <w:ind w:hanging="360" w:left="749" w:right="7"/>
        <w:jc w:val="both"/>
        <w:rPr/>
      </w:pPr>
      <w:r>
        <w:rPr>
          <w:rFonts w:eastAsia="Times New Roman" w:cs="Times New Roman" w:ascii="Times New Roman" w:hAnsi="Times New Roman"/>
          <w:sz w:val="24"/>
        </w:rPr>
        <w:t>З. Нямам/имам друг конфликт на интереси, който не е отстранен към момента на подаване на документите за участие в търга.</w:t>
      </w:r>
    </w:p>
    <w:p>
      <w:pPr>
        <w:pStyle w:val="Normal"/>
        <w:tabs>
          <w:tab w:val="clear" w:pos="708"/>
          <w:tab w:val="center" w:pos="6674" w:leader="none"/>
        </w:tabs>
        <w:spacing w:lineRule="auto" w:line="271" w:before="0" w:after="669"/>
        <w:rPr/>
      </w:pPr>
      <w:r>
        <w:rPr>
          <w:rFonts w:eastAsia="Times New Roman" w:cs="Times New Roman" w:ascii="Times New Roman" w:hAnsi="Times New Roman"/>
          <w:sz w:val="26"/>
        </w:rPr>
        <w:t xml:space="preserve">дата: </w:t>
      </w:r>
      <w:r>
        <w:rPr/>
        <w:drawing>
          <wp:inline distT="0" distB="0" distL="0" distR="0">
            <wp:extent cx="808990" cy="36830"/>
            <wp:effectExtent l="0" t="0" r="0" b="0"/>
            <wp:docPr id="1" name="Picture 21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7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6"/>
        </w:rPr>
        <w:tab/>
        <w:t>Подпис:</w:t>
      </w:r>
      <w:r>
        <w:rPr/>
        <w:drawing>
          <wp:inline distT="0" distB="0" distL="0" distR="0">
            <wp:extent cx="1371600" cy="45720"/>
            <wp:effectExtent l="0" t="0" r="0" b="0"/>
            <wp:docPr id="2" name="Picture 49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92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53"/>
        <w:ind w:hanging="0" w:left="3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53"/>
        <w:ind w:hanging="0" w:left="36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spacing w:before="0" w:after="253"/>
        <w:ind w:hanging="0" w:left="36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spacing w:before="0" w:after="253"/>
        <w:ind w:hanging="0" w:left="36"/>
        <w:rPr/>
      </w:pPr>
      <w:r>
        <w:rPr>
          <w:rFonts w:eastAsia="Times New Roman" w:cs="Times New Roman" w:ascii="Times New Roman" w:hAnsi="Times New Roman"/>
          <w:u w:val="single"/>
        </w:rPr>
        <w:t>ЗАБЕЛЕЖКА</w:t>
      </w:r>
      <w:r>
        <w:rPr>
          <w:rFonts w:eastAsia="Times New Roman" w:cs="Times New Roman" w:ascii="Times New Roman" w:hAnsi="Times New Roman"/>
          <w:u w:val="none"/>
        </w:rPr>
        <w:t>: Невярното се зачертава. В случай, че кандидатът е физическо лице, в титулната част попълва само име, ЕГН и адрес</w:t>
      </w:r>
    </w:p>
    <w:sectPr>
      <w:type w:val="nextPage"/>
      <w:pgSz w:w="11906" w:h="16838"/>
      <w:pgMar w:left="1354" w:right="1130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45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2" w:hanging="36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highlight w:val="white"/>
        <w:rFonts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bg-BG" w:eastAsia="bg-BG" w:bidi="ar-SA"/>
    </w:rPr>
  </w:style>
  <w:style w:type="paragraph" w:styleId="Heading1">
    <w:name w:val="Heading 1"/>
    <w:basedOn w:val="Heading"/>
    <w:uiPriority w:val="9"/>
    <w:unhideWhenUsed/>
    <w:qFormat/>
    <w:pPr>
      <w:keepNext w:val="true"/>
      <w:keepLines/>
      <w:widowControl/>
      <w:bidi w:val="0"/>
      <w:spacing w:before="240" w:after="328"/>
      <w:ind w:hanging="0" w:right="29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BlockQuotation">
    <w:name w:val="Block Quotation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LibreOffice/7.6.4.1$Windows_X86_64 LibreOffice_project/e19e193f88cd6c0525a17fb7a176ed8e6a3e2aa1</Application>
  <AppVersion>15.0000</AppVersion>
  <DocSecurity>0</DocSecurity>
  <Pages>3</Pages>
  <Words>700</Words>
  <Characters>4373</Characters>
  <CharactersWithSpaces>5067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2020-02-04T09:49:00Z</dcterms:created>
  <dc:creator>Потребител на Windows</dc:creator>
  <dc:description/>
  <dc:language>bg-BG</dc:language>
  <cp:lastModifiedBy/>
  <cp:lastPrinted>2020-04-28T13:00:50Z</cp:lastPrinted>
  <dcterms:modified xsi:type="dcterms:W3CDTF">2025-09-24T15:25:49Z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